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射频治疗仪技术参数</w:t>
      </w:r>
    </w:p>
    <w:p>
      <w:pPr>
        <w:jc w:val="center"/>
        <w:rPr>
          <w:b/>
          <w:bCs/>
          <w:sz w:val="28"/>
          <w:szCs w:val="28"/>
        </w:rPr>
      </w:pP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hint="eastAsia"/>
          <w:b/>
          <w:bCs/>
          <w:szCs w:val="21"/>
        </w:rPr>
        <w:t>一、适应症：</w:t>
      </w:r>
      <w:r>
        <w:rPr>
          <w:rFonts w:hint="eastAsia"/>
          <w:szCs w:val="21"/>
        </w:rPr>
        <w:t>适用于三叉神经经痛和经正规保守治疗无效的椎间盘原性疼痛。</w:t>
      </w:r>
      <w:r>
        <w:rPr>
          <w:szCs w:val="21"/>
        </w:rPr>
        <w:t>(</w:t>
      </w:r>
      <w:r>
        <w:rPr>
          <w:rFonts w:hint="eastAsia"/>
          <w:szCs w:val="21"/>
        </w:rPr>
        <w:t>国内独家应用于椎间盘疼痛治疗的射频仪</w:t>
      </w:r>
      <w:r>
        <w:rPr>
          <w:szCs w:val="21"/>
        </w:rPr>
        <w:t>)</w:t>
      </w:r>
    </w:p>
    <w:p>
      <w:pPr>
        <w:outlineLvl w:val="0"/>
        <w:rPr>
          <w:rFonts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 w:ascii="宋体" w:hAnsi="宋体"/>
          <w:b/>
          <w:szCs w:val="21"/>
        </w:rPr>
        <w:t>临床用途：</w:t>
      </w:r>
    </w:p>
    <w:p>
      <w:pPr>
        <w:spacing w:line="360" w:lineRule="auto"/>
        <w:ind w:left="420" w:hanging="420" w:hangingChars="200"/>
        <w:rPr>
          <w:rFonts w:hint="eastAsia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、外周神经系统：神经源性疼痛、三叉神经痛、带状疱疹后遗痛、星状神经节性偏头痛、交感神经疾患</w:t>
      </w:r>
    </w:p>
    <w:p>
      <w:pPr>
        <w:spacing w:line="360" w:lineRule="auto"/>
        <w:ind w:left="315" w:hanging="315" w:hangingChars="15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、脊柱因性疼痛：椎间盘膨出、突出症、脊神经后支痛、强直性脊柱炎</w:t>
      </w:r>
    </w:p>
    <w:p>
      <w:pPr>
        <w:spacing w:line="360" w:lineRule="auto"/>
        <w:ind w:left="315" w:hanging="315" w:hangingChars="15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、软织组疼痛：各类软组织疼痛、肌筋膜炎、肩周炎、网球肘炎、跟腱痛等</w:t>
      </w:r>
    </w:p>
    <w:p>
      <w:pPr>
        <w:spacing w:line="360" w:lineRule="auto"/>
        <w:ind w:left="315" w:hanging="315" w:hangingChars="150"/>
        <w:rPr>
          <w:rFonts w:ascii="宋体" w:hAnsi="宋体"/>
          <w:b/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、中枢神经系统：帕金森氏病、癫痫、舞蹈病、扭转痉挛、肿瘤、戒毒等（配合脑立体定向仪）</w:t>
      </w:r>
    </w:p>
    <w:p>
      <w:pPr>
        <w:rPr>
          <w:rFonts w:hint="eastAsia"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三、产品技术参数</w:t>
      </w:r>
    </w:p>
    <w:p>
      <w:pPr>
        <w:widowControl/>
        <w:spacing w:line="46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color w:val="000000"/>
          <w:kern w:val="0"/>
          <w:szCs w:val="21"/>
        </w:rPr>
        <w:t>射频频率：440KHZ±40KHZ正弦波     工作电压：220±10%  50Hz±1Hz。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2、</w:t>
      </w:r>
      <w:r>
        <w:rPr>
          <w:rFonts w:hint="eastAsia" w:ascii="宋体" w:hAnsi="宋体" w:cs="宋体"/>
          <w:color w:val="000000"/>
          <w:kern w:val="0"/>
          <w:szCs w:val="21"/>
        </w:rPr>
        <w:t>治疗输出功率≤20W(可调),能实时显示状态信息,具备极板脱落文字提示报警功能。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color w:val="000000"/>
          <w:kern w:val="0"/>
          <w:szCs w:val="21"/>
        </w:rPr>
        <w:t>标准射频损毁模式：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 具备自动及手动控制模式,毁损温度及时间可调。</w:t>
      </w:r>
    </w:p>
    <w:p>
      <w:pPr>
        <w:widowControl/>
        <w:spacing w:line="460" w:lineRule="exact"/>
        <w:ind w:firstLine="210" w:firstLineChars="1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温度设定范围：50°C—95°C  温度测量范围：25°C—95°C</w:t>
      </w:r>
    </w:p>
    <w:p>
      <w:pPr>
        <w:widowControl/>
        <w:spacing w:line="460" w:lineRule="exact"/>
        <w:ind w:firstLine="315" w:firstLineChars="1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时间设定范围：10s—5min。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color w:val="000000"/>
          <w:kern w:val="0"/>
          <w:szCs w:val="21"/>
        </w:rPr>
        <w:t>脉冲射频温度：42°C±2°C</w:t>
      </w:r>
    </w:p>
    <w:p>
      <w:pPr>
        <w:widowControl/>
        <w:spacing w:line="460" w:lineRule="exact"/>
        <w:ind w:firstLine="14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脉冲射频脉宽可调：10—50 ms    脉冲射频频率可调：1—8 Hz</w:t>
      </w:r>
    </w:p>
    <w:p>
      <w:pPr>
        <w:widowControl/>
        <w:spacing w:line="460" w:lineRule="exact"/>
        <w:ind w:firstLine="42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与连续射频可自由切换。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hint="eastAsia" w:ascii="宋体" w:hAnsi="宋体" w:cs="宋体"/>
          <w:szCs w:val="21"/>
        </w:rPr>
        <w:t>5、</w:t>
      </w:r>
      <w:r>
        <w:rPr>
          <w:rFonts w:hint="eastAsia" w:ascii="宋体" w:hAnsi="宋体" w:cs="宋体"/>
          <w:color w:val="000000"/>
          <w:kern w:val="0"/>
          <w:szCs w:val="21"/>
        </w:rPr>
        <w:t>阻抗监测：实时监测射频针头和负极板之间的阻抗，在整个治疗过程中观察治疗部位组织温度和热凝变化情况，大大提高手术安全性。阻抗测量范围：50Ω—1000Ω。（因为阻抗监测是个范围值，所以阻抗值宽度越窄精确度就越高）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6、</w:t>
      </w:r>
      <w:r>
        <w:rPr>
          <w:rFonts w:hint="eastAsia" w:ascii="宋体" w:hAnsi="宋体" w:cs="宋体"/>
          <w:color w:val="000000"/>
          <w:kern w:val="0"/>
          <w:szCs w:val="21"/>
        </w:rPr>
        <w:t>刺激模式：通过刺激进行感觉和运动神经鉴别辅助穿刺定位。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7、</w:t>
      </w:r>
      <w:r>
        <w:rPr>
          <w:rFonts w:hint="eastAsia" w:ascii="宋体" w:hAnsi="宋体" w:cs="宋体"/>
          <w:color w:val="000000"/>
          <w:kern w:val="0"/>
          <w:szCs w:val="21"/>
        </w:rPr>
        <w:t>频率和电压可调：</w:t>
      </w:r>
    </w:p>
    <w:p>
      <w:pPr>
        <w:widowControl/>
        <w:spacing w:line="460" w:lineRule="exact"/>
        <w:ind w:firstLine="315" w:firstLineChars="1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刺激脉冲宽度：1ms</w:t>
      </w:r>
    </w:p>
    <w:p>
      <w:pPr>
        <w:widowControl/>
        <w:spacing w:line="460" w:lineRule="exact"/>
        <w:ind w:firstLine="315" w:firstLineChars="1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刺激脉冲幅度：0.1-5.0V连续可调</w:t>
      </w:r>
    </w:p>
    <w:p>
      <w:pPr>
        <w:widowControl/>
        <w:spacing w:line="460" w:lineRule="exact"/>
        <w:ind w:firstLine="315" w:firstLineChars="1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刺激脉冲频率：1Hz-90Hz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8、</w:t>
      </w:r>
      <w:r>
        <w:rPr>
          <w:rFonts w:hint="eastAsia" w:ascii="宋体" w:hAnsi="宋体" w:cs="宋体"/>
          <w:color w:val="000000"/>
          <w:kern w:val="0"/>
          <w:szCs w:val="21"/>
        </w:rPr>
        <w:t>射频椎间盘热凝模式：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具备椎间盘内测温功能，精确控制毁损灶的范围。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szCs w:val="21"/>
        </w:rPr>
        <w:t>9、</w:t>
      </w:r>
      <w:r>
        <w:rPr>
          <w:rFonts w:hint="eastAsia" w:ascii="宋体" w:hAnsi="宋体" w:cs="宋体"/>
          <w:color w:val="000000"/>
          <w:kern w:val="0"/>
          <w:szCs w:val="21"/>
        </w:rPr>
        <w:t>系统自检功能，能自动检测系统各单元工作是否正常，并给予显示或报警。（确保手术顺利安全进行）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hint="eastAsia" w:ascii="宋体" w:hAnsi="宋体" w:cs="宋体"/>
          <w:szCs w:val="21"/>
        </w:rPr>
        <w:t xml:space="preserve">10、 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工作电极针及穿刺针有四种长度规格（50#、90#、120#、160#）可供客户选择，满足不同病症需求。 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b/>
          <w:bCs/>
          <w:szCs w:val="21"/>
        </w:rPr>
        <w:t>四、产品性能</w:t>
      </w:r>
    </w:p>
    <w:p>
      <w:pPr>
        <w:rPr>
          <w:rFonts w:hint="eastAsia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ascii="Arial" w:hAnsi="Arial" w:cs="Arial"/>
          <w:szCs w:val="21"/>
        </w:rPr>
        <w:t>1</w:t>
      </w:r>
      <w:r>
        <w:rPr>
          <w:rFonts w:hint="eastAsia" w:ascii="Arial" w:hAnsi="Arial" w:cs="Arial"/>
          <w:szCs w:val="21"/>
        </w:rPr>
        <w:t>、</w:t>
      </w:r>
      <w:r>
        <w:rPr>
          <w:szCs w:val="21"/>
        </w:rPr>
        <w:t>7.0</w:t>
      </w:r>
      <w:r>
        <w:rPr>
          <w:rFonts w:hint="eastAsia"/>
          <w:szCs w:val="21"/>
        </w:rPr>
        <w:t>寸</w:t>
      </w:r>
      <w:r>
        <w:rPr>
          <w:szCs w:val="21"/>
        </w:rPr>
        <w:t>LED</w:t>
      </w:r>
      <w:r>
        <w:rPr>
          <w:rFonts w:hint="eastAsia"/>
          <w:szCs w:val="21"/>
        </w:rPr>
        <w:t>大尺寸液晶屏显示，屏幕分辨率</w:t>
      </w:r>
      <w:r>
        <w:rPr>
          <w:szCs w:val="21"/>
        </w:rPr>
        <w:t>800</w:t>
      </w:r>
      <w:r>
        <w:rPr>
          <w:rFonts w:ascii="Arial" w:hAnsi="Arial" w:cs="Arial"/>
          <w:szCs w:val="21"/>
        </w:rPr>
        <w:t>×</w:t>
      </w:r>
      <w:r>
        <w:rPr>
          <w:szCs w:val="21"/>
        </w:rPr>
        <w:t>480</w:t>
      </w:r>
    </w:p>
    <w:p>
      <w:pPr>
        <w:rPr>
          <w:szCs w:val="21"/>
        </w:rPr>
      </w:pPr>
      <w:r>
        <w:rPr>
          <w:szCs w:val="21"/>
        </w:rPr>
        <w:t xml:space="preserve">  2</w:t>
      </w:r>
      <w:r>
        <w:rPr>
          <w:rFonts w:hint="eastAsia"/>
          <w:szCs w:val="21"/>
        </w:rPr>
        <w:t>、控制与输出全数字化，具有更高的安全性与精确性。</w:t>
      </w: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ascii="Arial" w:hAnsi="Arial" w:cs="Arial"/>
          <w:szCs w:val="21"/>
        </w:rPr>
        <w:t>3</w:t>
      </w:r>
      <w:r>
        <w:rPr>
          <w:rFonts w:hint="eastAsia" w:ascii="Arial" w:hAnsi="Arial" w:cs="Arial"/>
          <w:szCs w:val="21"/>
        </w:rPr>
        <w:t>、</w:t>
      </w:r>
      <w:r>
        <w:rPr>
          <w:rFonts w:hint="eastAsia"/>
          <w:szCs w:val="21"/>
        </w:rPr>
        <w:t>智能化的人机界面设计，操作简单，使用便捷。</w:t>
      </w: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szCs w:val="21"/>
        </w:rPr>
        <w:t>4</w:t>
      </w:r>
      <w:r>
        <w:rPr>
          <w:rFonts w:hint="eastAsia"/>
          <w:szCs w:val="21"/>
        </w:rPr>
        <w:t>、合理的界面及操作面板倾斜角度设计，更便于操作者观察及操作。</w:t>
      </w:r>
    </w:p>
    <w:p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独有的输出功率校准模式，使输出功率更精确，手术过程更安全。</w:t>
      </w:r>
    </w:p>
    <w:p>
      <w:pPr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简洁明了、舒适的硅胶按键设计。</w:t>
      </w:r>
    </w:p>
    <w:p>
      <w:pPr>
        <w:rPr>
          <w:szCs w:val="21"/>
        </w:rPr>
      </w:pPr>
      <w:r>
        <w:rPr>
          <w:rFonts w:hint="eastAsia" w:ascii="宋体" w:hAnsi="宋体" w:cs="宋体"/>
          <w:b/>
          <w:bCs/>
          <w:szCs w:val="21"/>
        </w:rPr>
        <w:t>※</w:t>
      </w:r>
      <w:r>
        <w:rPr>
          <w:rFonts w:ascii="Arial" w:hAnsi="Arial" w:cs="Arial"/>
          <w:szCs w:val="21"/>
        </w:rPr>
        <w:t>7</w:t>
      </w:r>
      <w:r>
        <w:rPr>
          <w:rFonts w:hint="eastAsia"/>
          <w:szCs w:val="21"/>
        </w:rPr>
        <w:t>、防呆接头设计。</w:t>
      </w:r>
    </w:p>
    <w:p>
      <w:pPr>
        <w:rPr>
          <w:szCs w:val="21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568" w:right="1758" w:bottom="851" w:left="1797" w:header="851" w:footer="5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_5b8b_4f53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013AC"/>
    <w:rsid w:val="43D013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2016-12-26T06:39:00Z</dcterms:created>
  <dc:creator>Administrator</dc:creator>
  <cp:lastModifiedBy>Administrator</cp:lastModifiedBy>
  <dcterms:modified xsi:type="dcterms:W3CDTF">2016-12-26T06:39:36Z</dcterms:modified>
  <dc:title>射频治疗仪技术参数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